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hint="eastAsia" w:ascii="宋体" w:hAnsi="宋体" w:eastAsia="宋体" w:cs="宋体"/>
          <w:b/>
          <w:bCs/>
          <w:color w:val="000000"/>
          <w:spacing w:val="4"/>
          <w:kern w:val="0"/>
          <w:sz w:val="30"/>
          <w:szCs w:val="30"/>
          <w:lang w:eastAsia="zh-CN"/>
        </w:rPr>
      </w:pPr>
      <w:r>
        <w:rPr>
          <w:rFonts w:hint="eastAsia" w:ascii="宋体" w:hAnsi="宋体" w:cs="宋体"/>
          <w:b/>
          <w:bCs/>
          <w:color w:val="000000"/>
          <w:spacing w:val="4"/>
          <w:kern w:val="0"/>
          <w:sz w:val="30"/>
          <w:szCs w:val="30"/>
          <w:lang w:eastAsia="zh-CN"/>
        </w:rPr>
        <w:t>附件</w:t>
      </w:r>
      <w:r>
        <w:rPr>
          <w:rFonts w:hint="eastAsia" w:ascii="宋体" w:hAnsi="宋体" w:cs="宋体"/>
          <w:b/>
          <w:bCs/>
          <w:color w:val="000000"/>
          <w:spacing w:val="4"/>
          <w:kern w:val="0"/>
          <w:sz w:val="30"/>
          <w:szCs w:val="30"/>
          <w:lang w:val="en-US" w:eastAsia="zh-CN"/>
        </w:rPr>
        <w:t>2：</w:t>
      </w:r>
    </w:p>
    <w:p>
      <w:pPr>
        <w:widowControl/>
        <w:spacing w:line="360" w:lineRule="auto"/>
        <w:jc w:val="center"/>
        <w:rPr>
          <w:rFonts w:hint="eastAsia" w:ascii="宋体" w:hAnsi="宋体" w:cs="宋体"/>
          <w:b/>
          <w:bCs/>
          <w:color w:val="000000"/>
          <w:spacing w:val="4"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color w:val="000000"/>
          <w:spacing w:val="4"/>
          <w:kern w:val="0"/>
          <w:sz w:val="30"/>
          <w:szCs w:val="30"/>
        </w:rPr>
        <w:t>教师专业技术职务水平能力测试评分表</w:t>
      </w:r>
    </w:p>
    <w:tbl>
      <w:tblPr>
        <w:tblStyle w:val="3"/>
        <w:tblW w:w="91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885"/>
        <w:gridCol w:w="947"/>
        <w:gridCol w:w="472"/>
        <w:gridCol w:w="1422"/>
        <w:gridCol w:w="774"/>
        <w:gridCol w:w="767"/>
        <w:gridCol w:w="1036"/>
        <w:gridCol w:w="1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’Times New Roman’" w:hAnsi="’Times New Roman’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’Times New Roman’" w:hAnsi="’Times New Roman’" w:cs="宋体"/>
                <w:color w:val="000000"/>
                <w:kern w:val="0"/>
                <w:szCs w:val="21"/>
              </w:rPr>
              <w:t>身份证号</w:t>
            </w:r>
            <w:r>
              <w:rPr>
                <w:rFonts w:hint="default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’Times New Roman’" w:hAnsi="’Times New Roman’" w:cs="宋体"/>
                <w:color w:val="000000"/>
                <w:kern w:val="0"/>
                <w:szCs w:val="21"/>
              </w:rPr>
              <w:t>码</w:t>
            </w:r>
          </w:p>
        </w:tc>
        <w:tc>
          <w:tcPr>
            <w:tcW w:w="44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’Times New Roman’" w:hAnsi="’Times New Roman’" w:cs="宋体"/>
                <w:color w:val="000000"/>
                <w:kern w:val="0"/>
                <w:szCs w:val="21"/>
              </w:rPr>
              <w:t>贴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’Times New Roman’" w:hAnsi="’Times New Roman’" w:cs="宋体"/>
                <w:color w:val="000000"/>
                <w:kern w:val="0"/>
                <w:szCs w:val="21"/>
              </w:rPr>
              <w:t>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’Times New Roman’" w:hAnsi="’Times New Roman’" w:cs="宋体"/>
                <w:color w:val="000000"/>
                <w:kern w:val="0"/>
                <w:szCs w:val="21"/>
              </w:rPr>
              <w:t>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’Times New Roman’" w:hAnsi="’Times New Roman’" w:cs="宋体"/>
                <w:color w:val="000000"/>
                <w:kern w:val="0"/>
                <w:szCs w:val="21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’Times New Roman’" w:hAnsi="’Times New Roman’" w:cs="宋体"/>
                <w:color w:val="000000"/>
                <w:kern w:val="0"/>
                <w:szCs w:val="21"/>
              </w:rPr>
              <w:t>文化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’Times New Roman’" w:hAnsi="’Times New Roman’" w:cs="宋体"/>
                <w:color w:val="000000"/>
                <w:kern w:val="0"/>
                <w:szCs w:val="21"/>
              </w:rPr>
              <w:t>程</w:t>
            </w:r>
            <w:r>
              <w:rPr>
                <w:rFonts w:hint="default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’Times New Roman’" w:hAnsi="’Times New Roman’" w:cs="宋体"/>
                <w:color w:val="000000"/>
                <w:kern w:val="0"/>
                <w:szCs w:val="21"/>
              </w:rPr>
              <w:t>度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’Times New Roman’" w:hAnsi="’Times New Roman’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’Times New Roman’" w:hAnsi="’Times New Roman’" w:cs="宋体"/>
                <w:color w:val="000000"/>
                <w:kern w:val="0"/>
                <w:szCs w:val="21"/>
              </w:rPr>
              <w:t>测试专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’Times New Roman’" w:hAnsi="’Times New Roman’" w:cs="宋体"/>
                <w:color w:val="000000"/>
                <w:kern w:val="0"/>
                <w:szCs w:val="21"/>
              </w:rPr>
              <w:t>业名称</w:t>
            </w:r>
          </w:p>
        </w:tc>
        <w:tc>
          <w:tcPr>
            <w:tcW w:w="25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’Times New Roman’" w:hAnsi="’Times New Roman’" w:cs="宋体"/>
                <w:color w:val="000000"/>
                <w:kern w:val="0"/>
                <w:szCs w:val="21"/>
                <w:lang w:eastAsia="zh-CN"/>
              </w:rPr>
              <w:t>所在</w:t>
            </w:r>
            <w:r>
              <w:rPr>
                <w:rFonts w:hint="eastAsia" w:ascii="’Times New Roman’" w:hAnsi="’Times New Roman’" w:cs="宋体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23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’Times New Roman’" w:hAnsi="’Times New Roman’" w:cs="宋体"/>
                <w:color w:val="000000"/>
                <w:kern w:val="0"/>
                <w:szCs w:val="21"/>
              </w:rPr>
              <w:t>测</w:t>
            </w:r>
            <w:r>
              <w:rPr>
                <w:rFonts w:hint="default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’Times New Roman’" w:hAnsi="’Times New Roman’" w:cs="宋体"/>
                <w:color w:val="000000"/>
                <w:kern w:val="0"/>
                <w:szCs w:val="21"/>
              </w:rPr>
              <w:t>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’Times New Roman’" w:hAnsi="’Times New Roman’" w:cs="宋体"/>
                <w:color w:val="000000"/>
                <w:kern w:val="0"/>
                <w:szCs w:val="21"/>
              </w:rPr>
              <w:t>级</w:t>
            </w:r>
            <w:r>
              <w:rPr>
                <w:rFonts w:hint="default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’Times New Roman’" w:hAnsi="’Times New Roman’" w:cs="宋体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’Times New Roman’" w:hAnsi="’Times New Roman’" w:cs="宋体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’Times New Roman’" w:hAnsi="’Times New Roman’" w:cs="宋体"/>
                <w:color w:val="000000"/>
                <w:kern w:val="0"/>
                <w:szCs w:val="21"/>
              </w:rPr>
              <w:t>现任专业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’Times New Roman’" w:hAnsi="’Times New Roman’" w:cs="宋体"/>
                <w:color w:val="000000"/>
                <w:kern w:val="0"/>
                <w:szCs w:val="21"/>
              </w:rPr>
              <w:t>技术职务</w:t>
            </w:r>
          </w:p>
        </w:tc>
        <w:tc>
          <w:tcPr>
            <w:tcW w:w="23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’Times New Roman’" w:hAnsi="’Times New Roman’" w:cs="宋体"/>
                <w:color w:val="000000"/>
                <w:kern w:val="0"/>
                <w:szCs w:val="21"/>
              </w:rPr>
              <w:t>任现职</w:t>
            </w:r>
            <w:r>
              <w:rPr>
                <w:rFonts w:hint="eastAsia" w:ascii="’Times New Roman’" w:hAnsi="’Times New Roman’" w:cs="宋体"/>
                <w:color w:val="000000"/>
                <w:kern w:val="0"/>
                <w:szCs w:val="21"/>
                <w:lang w:eastAsia="zh-CN"/>
              </w:rPr>
              <w:t>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’Times New Roman’" w:hAnsi="’Times New Roman’" w:cs="宋体"/>
                <w:color w:val="000000"/>
                <w:kern w:val="0"/>
                <w:szCs w:val="21"/>
                <w:lang w:eastAsia="zh-CN"/>
              </w:rPr>
              <w:t>批准时间</w:t>
            </w:r>
          </w:p>
        </w:tc>
        <w:tc>
          <w:tcPr>
            <w:tcW w:w="25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日起任现职</w:t>
            </w:r>
          </w:p>
        </w:tc>
        <w:tc>
          <w:tcPr>
            <w:tcW w:w="1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’Times New Roman’" w:hAnsi="’Times New Roman’" w:cs="宋体"/>
                <w:color w:val="000000"/>
                <w:kern w:val="0"/>
                <w:szCs w:val="21"/>
              </w:rPr>
              <w:t>讲课章节题目</w:t>
            </w:r>
          </w:p>
        </w:tc>
        <w:tc>
          <w:tcPr>
            <w:tcW w:w="52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’Times New Roman’" w:hAnsi="’Times New Roman’" w:cs="宋体"/>
                <w:color w:val="000000"/>
                <w:kern w:val="0"/>
                <w:szCs w:val="21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’Times New Roman’" w:hAnsi="’Times New Roman’" w:cs="宋体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’Times New Roman’" w:hAnsi="’Times New Roman’" w:cs="宋体"/>
                <w:color w:val="000000"/>
                <w:kern w:val="0"/>
                <w:szCs w:val="21"/>
              </w:rPr>
              <w:t>评价目标</w:t>
            </w:r>
          </w:p>
        </w:tc>
        <w:tc>
          <w:tcPr>
            <w:tcW w:w="63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’Times New Roman’" w:hAnsi="’Times New Roman’" w:cs="宋体"/>
                <w:color w:val="000000"/>
                <w:kern w:val="0"/>
                <w:szCs w:val="21"/>
              </w:rPr>
              <w:t>评价内容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’Times New Roman’" w:hAnsi="’Times New Roman’" w:cs="宋体"/>
                <w:color w:val="000000"/>
                <w:kern w:val="0"/>
                <w:sz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’Times New Roman’" w:hAnsi="’Times New Roman’" w:cs="宋体"/>
                <w:color w:val="000000"/>
                <w:kern w:val="0"/>
                <w:szCs w:val="21"/>
              </w:rPr>
              <w:t>教学目的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’Times New Roman’" w:hAnsi="’Times New Roman’" w:cs="宋体"/>
                <w:color w:val="000000"/>
                <w:kern w:val="0"/>
                <w:szCs w:val="21"/>
              </w:rPr>
              <w:t>（</w:t>
            </w:r>
            <w:r>
              <w:rPr>
                <w:rFonts w:hint="default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’Times New Roman’" w:hAnsi="’Times New Roman’" w:cs="宋体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63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’Times New Roman’" w:hAnsi="’Times New Roman’" w:cs="宋体"/>
                <w:color w:val="000000"/>
                <w:kern w:val="0"/>
                <w:szCs w:val="21"/>
              </w:rPr>
              <w:t>、教学目的完整</w:t>
            </w:r>
            <w:r>
              <w:rPr>
                <w:rFonts w:hint="default"/>
                <w:color w:val="000000"/>
                <w:kern w:val="0"/>
                <w:szCs w:val="21"/>
              </w:rPr>
              <w:t>(</w:t>
            </w:r>
            <w:r>
              <w:rPr>
                <w:rFonts w:hint="eastAsia" w:ascii="’Times New Roman’" w:hAnsi="’Times New Roman’" w:cs="宋体"/>
                <w:color w:val="000000"/>
                <w:kern w:val="0"/>
                <w:szCs w:val="21"/>
              </w:rPr>
              <w:t>包括知识、能力、思想教育等方面</w:t>
            </w:r>
            <w:r>
              <w:rPr>
                <w:rFonts w:hint="default"/>
                <w:color w:val="000000"/>
                <w:kern w:val="0"/>
                <w:szCs w:val="21"/>
              </w:rPr>
              <w:t>)(3</w:t>
            </w:r>
            <w:r>
              <w:rPr>
                <w:rFonts w:hint="eastAsia" w:ascii="’Times New Roman’" w:hAnsi="’Times New Roman’" w:cs="宋体"/>
                <w:color w:val="000000"/>
                <w:kern w:val="0"/>
                <w:szCs w:val="21"/>
              </w:rPr>
              <w:t>分</w:t>
            </w:r>
            <w:r>
              <w:rPr>
                <w:rFonts w:hint="default"/>
                <w:color w:val="000000"/>
                <w:kern w:val="0"/>
                <w:szCs w:val="21"/>
              </w:rPr>
              <w:t>)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’Times New Roman’" w:hAnsi="’Times New Roman’" w:cs="宋体"/>
                <w:color w:val="000000"/>
                <w:kern w:val="0"/>
                <w:szCs w:val="21"/>
              </w:rPr>
              <w:t>、教学目标准确</w:t>
            </w:r>
            <w:r>
              <w:rPr>
                <w:rFonts w:hint="default"/>
                <w:color w:val="000000"/>
                <w:kern w:val="0"/>
                <w:szCs w:val="21"/>
              </w:rPr>
              <w:t>(2</w:t>
            </w:r>
            <w:r>
              <w:rPr>
                <w:rFonts w:hint="eastAsia" w:ascii="’Times New Roman’" w:hAnsi="’Times New Roman’" w:cs="宋体"/>
                <w:color w:val="000000"/>
                <w:kern w:val="0"/>
                <w:szCs w:val="21"/>
              </w:rPr>
              <w:t>分</w:t>
            </w:r>
            <w:r>
              <w:rPr>
                <w:rFonts w:hint="default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  <w:jc w:val="center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’Times New Roman’" w:hAnsi="’Times New Roman’" w:cs="宋体"/>
                <w:color w:val="000000"/>
                <w:kern w:val="0"/>
                <w:szCs w:val="21"/>
              </w:rPr>
              <w:t>教学内容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’Times New Roman’" w:hAnsi="’Times New Roman’" w:cs="宋体"/>
                <w:color w:val="000000"/>
                <w:kern w:val="0"/>
                <w:szCs w:val="21"/>
              </w:rPr>
              <w:t>教材处理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/>
                <w:color w:val="000000"/>
                <w:kern w:val="0"/>
                <w:szCs w:val="21"/>
              </w:rPr>
              <w:t>(15</w:t>
            </w:r>
            <w:r>
              <w:rPr>
                <w:rFonts w:hint="eastAsia" w:ascii="’Times New Roman’" w:hAnsi="’Times New Roman’" w:cs="宋体"/>
                <w:color w:val="000000"/>
                <w:kern w:val="0"/>
                <w:szCs w:val="21"/>
              </w:rPr>
              <w:t>分</w:t>
            </w:r>
            <w:r>
              <w:rPr>
                <w:rFonts w:hint="default"/>
                <w:color w:val="000000"/>
                <w:kern w:val="0"/>
                <w:szCs w:val="21"/>
              </w:rPr>
              <w:t>)</w:t>
            </w:r>
          </w:p>
        </w:tc>
        <w:tc>
          <w:tcPr>
            <w:tcW w:w="63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’Times New Roman’" w:hAnsi="’Times New Roman’" w:cs="宋体"/>
                <w:color w:val="000000"/>
                <w:kern w:val="0"/>
                <w:szCs w:val="21"/>
              </w:rPr>
              <w:t>、教学内容正确、科学、系统，本专业知识掌握和讲解熟练</w:t>
            </w:r>
            <w:r>
              <w:rPr>
                <w:rFonts w:hint="default"/>
                <w:color w:val="000000"/>
                <w:kern w:val="0"/>
                <w:szCs w:val="21"/>
              </w:rPr>
              <w:t>(8</w:t>
            </w:r>
            <w:r>
              <w:rPr>
                <w:rFonts w:hint="eastAsia" w:ascii="’Times New Roman’" w:hAnsi="’Times New Roman’" w:cs="宋体"/>
                <w:color w:val="000000"/>
                <w:kern w:val="0"/>
                <w:szCs w:val="21"/>
              </w:rPr>
              <w:t>分</w:t>
            </w:r>
            <w:r>
              <w:rPr>
                <w:rFonts w:hint="default"/>
                <w:color w:val="000000"/>
                <w:kern w:val="0"/>
                <w:szCs w:val="21"/>
              </w:rPr>
              <w:t>)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’Times New Roman’" w:hAnsi="’Times New Roman’" w:cs="宋体"/>
                <w:color w:val="000000"/>
                <w:kern w:val="0"/>
                <w:szCs w:val="21"/>
              </w:rPr>
              <w:t>、依据学生实际</w:t>
            </w:r>
            <w:r>
              <w:rPr>
                <w:rFonts w:hint="default"/>
                <w:color w:val="000000"/>
                <w:kern w:val="0"/>
                <w:szCs w:val="21"/>
              </w:rPr>
              <w:t>,</w:t>
            </w:r>
            <w:r>
              <w:rPr>
                <w:rFonts w:hint="eastAsia" w:ascii="’Times New Roman’" w:hAnsi="’Times New Roman’" w:cs="宋体"/>
                <w:color w:val="000000"/>
                <w:kern w:val="0"/>
                <w:szCs w:val="21"/>
              </w:rPr>
              <w:t>灵活处理教材</w:t>
            </w:r>
            <w:r>
              <w:rPr>
                <w:rFonts w:hint="default"/>
                <w:color w:val="000000"/>
                <w:kern w:val="0"/>
                <w:szCs w:val="21"/>
              </w:rPr>
              <w:t>(2</w:t>
            </w:r>
            <w:r>
              <w:rPr>
                <w:rFonts w:hint="eastAsia" w:ascii="’Times New Roman’" w:hAnsi="’Times New Roman’" w:cs="宋体"/>
                <w:color w:val="000000"/>
                <w:kern w:val="0"/>
                <w:szCs w:val="21"/>
              </w:rPr>
              <w:t>分</w:t>
            </w:r>
            <w:r>
              <w:rPr>
                <w:rFonts w:hint="default"/>
                <w:color w:val="000000"/>
                <w:kern w:val="0"/>
                <w:szCs w:val="21"/>
              </w:rPr>
              <w:t>)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’Times New Roman’" w:hAnsi="’Times New Roman’" w:cs="宋体"/>
                <w:color w:val="000000"/>
                <w:kern w:val="0"/>
                <w:szCs w:val="21"/>
              </w:rPr>
              <w:t>、教材重、难点突出</w:t>
            </w:r>
            <w:r>
              <w:rPr>
                <w:rFonts w:hint="default"/>
                <w:color w:val="000000"/>
                <w:kern w:val="0"/>
                <w:szCs w:val="21"/>
              </w:rPr>
              <w:t>,</w:t>
            </w:r>
            <w:r>
              <w:rPr>
                <w:rFonts w:hint="eastAsia" w:ascii="’Times New Roman’" w:hAnsi="’Times New Roman’" w:cs="宋体"/>
                <w:color w:val="000000"/>
                <w:kern w:val="0"/>
                <w:szCs w:val="21"/>
              </w:rPr>
              <w:t>详略得当</w:t>
            </w:r>
            <w:r>
              <w:rPr>
                <w:rFonts w:hint="default"/>
                <w:color w:val="000000"/>
                <w:kern w:val="0"/>
                <w:szCs w:val="21"/>
              </w:rPr>
              <w:t>,</w:t>
            </w:r>
            <w:r>
              <w:rPr>
                <w:rFonts w:hint="eastAsia" w:ascii="’Times New Roman’" w:hAnsi="’Times New Roman’" w:cs="宋体"/>
                <w:color w:val="000000"/>
                <w:kern w:val="0"/>
                <w:szCs w:val="21"/>
              </w:rPr>
              <w:t>深广度适宜</w:t>
            </w:r>
            <w:r>
              <w:rPr>
                <w:rFonts w:hint="default"/>
                <w:color w:val="000000"/>
                <w:kern w:val="0"/>
                <w:szCs w:val="21"/>
              </w:rPr>
              <w:t>(5</w:t>
            </w:r>
            <w:r>
              <w:rPr>
                <w:rFonts w:hint="eastAsia" w:ascii="’Times New Roman’" w:hAnsi="’Times New Roman’" w:cs="宋体"/>
                <w:color w:val="000000"/>
                <w:kern w:val="0"/>
                <w:szCs w:val="21"/>
              </w:rPr>
              <w:t>分</w:t>
            </w:r>
            <w:r>
              <w:rPr>
                <w:rFonts w:hint="default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’Times New Roman’" w:hAnsi="’Times New Roman’" w:cs="宋体"/>
                <w:color w:val="000000"/>
                <w:kern w:val="0"/>
                <w:szCs w:val="21"/>
              </w:rPr>
              <w:t>教学结构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’Times New Roman’" w:hAnsi="’Times New Roman’" w:cs="宋体"/>
                <w:color w:val="000000"/>
                <w:kern w:val="0"/>
                <w:szCs w:val="21"/>
              </w:rPr>
              <w:t>（</w:t>
            </w:r>
            <w:r>
              <w:rPr>
                <w:rFonts w:hint="default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’Times New Roman’" w:hAnsi="’Times New Roman’" w:cs="宋体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63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60"/>
              </w:tabs>
              <w:spacing w:before="0" w:beforeAutospacing="0" w:after="0" w:afterAutospacing="0" w:line="260" w:lineRule="exact"/>
              <w:ind w:left="360" w:right="0" w:hanging="360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eastAsia="’Times New Roman’"/>
                <w:color w:val="000000"/>
                <w:kern w:val="0"/>
                <w:szCs w:val="21"/>
              </w:rPr>
              <w:t>1、</w:t>
            </w:r>
            <w:r>
              <w:rPr>
                <w:rFonts w:hint="eastAsia" w:ascii="’Times New Roman’" w:hAnsi="’Times New Roman’" w:cs="宋体"/>
                <w:color w:val="000000"/>
                <w:kern w:val="0"/>
                <w:szCs w:val="21"/>
              </w:rPr>
              <w:t>结构展开符合学生认识规律（</w:t>
            </w:r>
            <w:r>
              <w:rPr>
                <w:rFonts w:hint="default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’Times New Roman’" w:hAnsi="’Times New Roman’" w:cs="宋体"/>
                <w:color w:val="000000"/>
                <w:kern w:val="0"/>
                <w:szCs w:val="21"/>
              </w:rPr>
              <w:t>分）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360"/>
              </w:tabs>
              <w:spacing w:before="0" w:beforeAutospacing="0" w:after="0" w:afterAutospacing="0" w:line="260" w:lineRule="exact"/>
              <w:ind w:left="360" w:right="0" w:hanging="360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eastAsia="’Times New Roman’"/>
                <w:color w:val="000000"/>
                <w:kern w:val="0"/>
                <w:szCs w:val="21"/>
              </w:rPr>
              <w:t>2、</w:t>
            </w:r>
            <w:r>
              <w:rPr>
                <w:rFonts w:hint="eastAsia" w:ascii="’Times New Roman’" w:hAnsi="’Times New Roman’" w:cs="宋体"/>
                <w:color w:val="000000"/>
                <w:kern w:val="0"/>
                <w:szCs w:val="21"/>
              </w:rPr>
              <w:t>结构完整符合逻辑（</w:t>
            </w:r>
            <w:r>
              <w:rPr>
                <w:rFonts w:hint="default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’Times New Roman’" w:hAnsi="’Times New Roman’" w:cs="宋体"/>
                <w:color w:val="000000"/>
                <w:kern w:val="0"/>
                <w:szCs w:val="21"/>
              </w:rPr>
              <w:t>分）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360"/>
              </w:tabs>
              <w:spacing w:before="0" w:beforeAutospacing="0" w:after="0" w:afterAutospacing="0" w:line="260" w:lineRule="exact"/>
              <w:ind w:left="360" w:right="0" w:hanging="360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eastAsia="’Times New Roman’"/>
                <w:color w:val="000000"/>
                <w:kern w:val="0"/>
                <w:szCs w:val="21"/>
              </w:rPr>
              <w:t>3、</w:t>
            </w:r>
            <w:r>
              <w:rPr>
                <w:rFonts w:hint="eastAsia" w:ascii="’Times New Roman’" w:hAnsi="’Times New Roman’" w:cs="宋体"/>
                <w:color w:val="000000"/>
                <w:kern w:val="0"/>
                <w:szCs w:val="21"/>
              </w:rPr>
              <w:t>程序合理，过渡顺当（</w:t>
            </w:r>
            <w:r>
              <w:rPr>
                <w:rFonts w:hint="default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’Times New Roman’" w:hAnsi="’Times New Roman’" w:cs="宋体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 w:hRule="atLeast"/>
          <w:jc w:val="center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’Times New Roman’" w:hAnsi="’Times New Roman’" w:cs="宋体"/>
                <w:color w:val="000000"/>
                <w:kern w:val="0"/>
                <w:szCs w:val="21"/>
              </w:rPr>
              <w:t>教学方法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/>
                <w:color w:val="000000"/>
                <w:kern w:val="0"/>
                <w:szCs w:val="21"/>
              </w:rPr>
              <w:t>(10</w:t>
            </w:r>
            <w:r>
              <w:rPr>
                <w:rFonts w:hint="eastAsia" w:ascii="’Times New Roman’" w:hAnsi="’Times New Roman’" w:cs="宋体"/>
                <w:color w:val="000000"/>
                <w:kern w:val="0"/>
                <w:szCs w:val="21"/>
              </w:rPr>
              <w:t>分</w:t>
            </w:r>
            <w:r>
              <w:rPr>
                <w:rFonts w:hint="default"/>
                <w:color w:val="000000"/>
                <w:kern w:val="0"/>
                <w:szCs w:val="21"/>
              </w:rPr>
              <w:t>)</w:t>
            </w:r>
          </w:p>
        </w:tc>
        <w:tc>
          <w:tcPr>
            <w:tcW w:w="63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’Times New Roman’" w:hAnsi="’Times New Roman’" w:cs="宋体"/>
                <w:color w:val="000000"/>
                <w:kern w:val="0"/>
                <w:szCs w:val="21"/>
              </w:rPr>
              <w:t>、能激发学生学习的积极性</w:t>
            </w:r>
            <w:r>
              <w:rPr>
                <w:rFonts w:hint="default"/>
                <w:color w:val="000000"/>
                <w:kern w:val="0"/>
                <w:szCs w:val="21"/>
              </w:rPr>
              <w:t>(3</w:t>
            </w:r>
            <w:r>
              <w:rPr>
                <w:rFonts w:hint="eastAsia" w:ascii="’Times New Roman’" w:hAnsi="’Times New Roman’" w:cs="宋体"/>
                <w:color w:val="000000"/>
                <w:kern w:val="0"/>
                <w:szCs w:val="21"/>
              </w:rPr>
              <w:t>分</w:t>
            </w:r>
            <w:r>
              <w:rPr>
                <w:rFonts w:hint="default"/>
                <w:color w:val="000000"/>
                <w:kern w:val="0"/>
                <w:szCs w:val="21"/>
              </w:rPr>
              <w:t>)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’Times New Roman’" w:hAnsi="’Times New Roman’" w:cs="宋体"/>
                <w:color w:val="000000"/>
                <w:kern w:val="0"/>
                <w:szCs w:val="21"/>
              </w:rPr>
              <w:t>、能培养学生的独立性、自主性</w:t>
            </w:r>
            <w:r>
              <w:rPr>
                <w:rFonts w:hint="default"/>
                <w:color w:val="000000"/>
                <w:kern w:val="0"/>
                <w:szCs w:val="21"/>
              </w:rPr>
              <w:t>,</w:t>
            </w:r>
            <w:r>
              <w:rPr>
                <w:rFonts w:hint="eastAsia" w:ascii="’Times New Roman’" w:hAnsi="’Times New Roman’" w:cs="宋体"/>
                <w:color w:val="000000"/>
                <w:kern w:val="0"/>
                <w:szCs w:val="21"/>
              </w:rPr>
              <w:t>引导学生调查、探究、实践</w:t>
            </w:r>
            <w:r>
              <w:rPr>
                <w:rFonts w:hint="default"/>
                <w:color w:val="000000"/>
                <w:kern w:val="0"/>
                <w:szCs w:val="21"/>
              </w:rPr>
              <w:t>(5</w:t>
            </w:r>
            <w:r>
              <w:rPr>
                <w:rFonts w:hint="eastAsia" w:ascii="’Times New Roman’" w:hAnsi="’Times New Roman’" w:cs="宋体"/>
                <w:color w:val="000000"/>
                <w:kern w:val="0"/>
                <w:szCs w:val="21"/>
              </w:rPr>
              <w:t>分</w:t>
            </w:r>
            <w:r>
              <w:rPr>
                <w:rFonts w:hint="default"/>
                <w:color w:val="000000"/>
                <w:kern w:val="0"/>
                <w:szCs w:val="21"/>
              </w:rPr>
              <w:t>)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’Times New Roman’" w:hAnsi="’Times New Roman’" w:cs="宋体"/>
                <w:color w:val="000000"/>
                <w:kern w:val="0"/>
                <w:szCs w:val="21"/>
              </w:rPr>
              <w:t>、能尊重学生的人格</w:t>
            </w:r>
            <w:r>
              <w:rPr>
                <w:rFonts w:hint="default"/>
                <w:color w:val="000000"/>
                <w:kern w:val="0"/>
                <w:szCs w:val="21"/>
              </w:rPr>
              <w:t>,</w:t>
            </w:r>
            <w:r>
              <w:rPr>
                <w:rFonts w:hint="eastAsia" w:ascii="’Times New Roman’" w:hAnsi="’Times New Roman’" w:cs="宋体"/>
                <w:color w:val="000000"/>
                <w:kern w:val="0"/>
                <w:szCs w:val="21"/>
              </w:rPr>
              <w:t>关心学生个体差异</w:t>
            </w:r>
            <w:r>
              <w:rPr>
                <w:rFonts w:hint="default"/>
                <w:color w:val="000000"/>
                <w:kern w:val="0"/>
                <w:szCs w:val="21"/>
              </w:rPr>
              <w:t>,</w:t>
            </w:r>
            <w:r>
              <w:rPr>
                <w:rFonts w:hint="eastAsia" w:ascii="’Times New Roman’" w:hAnsi="’Times New Roman’" w:cs="宋体"/>
                <w:color w:val="000000"/>
                <w:kern w:val="0"/>
                <w:szCs w:val="21"/>
              </w:rPr>
              <w:t>满足不同需求</w:t>
            </w:r>
            <w:r>
              <w:rPr>
                <w:rFonts w:hint="default"/>
                <w:color w:val="000000"/>
                <w:kern w:val="0"/>
                <w:szCs w:val="21"/>
              </w:rPr>
              <w:t>(2</w:t>
            </w:r>
            <w:r>
              <w:rPr>
                <w:rFonts w:hint="eastAsia" w:ascii="’Times New Roman’" w:hAnsi="’Times New Roman’" w:cs="宋体"/>
                <w:color w:val="000000"/>
                <w:kern w:val="0"/>
                <w:szCs w:val="21"/>
              </w:rPr>
              <w:t>分</w:t>
            </w:r>
            <w:r>
              <w:rPr>
                <w:rFonts w:hint="default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5" w:hRule="atLeast"/>
          <w:jc w:val="center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’Times New Roman’" w:hAnsi="’Times New Roman’" w:cs="宋体"/>
                <w:color w:val="000000"/>
                <w:kern w:val="0"/>
                <w:szCs w:val="21"/>
              </w:rPr>
              <w:t>教学基本功</w:t>
            </w:r>
            <w:r>
              <w:rPr>
                <w:rFonts w:hint="default"/>
                <w:color w:val="000000"/>
                <w:kern w:val="0"/>
                <w:szCs w:val="21"/>
              </w:rPr>
              <w:t>(10</w:t>
            </w:r>
            <w:r>
              <w:rPr>
                <w:rFonts w:hint="eastAsia" w:ascii="’Times New Roman’" w:hAnsi="’Times New Roman’" w:cs="宋体"/>
                <w:color w:val="000000"/>
                <w:kern w:val="0"/>
                <w:szCs w:val="21"/>
              </w:rPr>
              <w:t>分</w:t>
            </w:r>
            <w:r>
              <w:rPr>
                <w:rFonts w:hint="default"/>
                <w:color w:val="000000"/>
                <w:kern w:val="0"/>
                <w:szCs w:val="21"/>
              </w:rPr>
              <w:t>)</w:t>
            </w:r>
          </w:p>
        </w:tc>
        <w:tc>
          <w:tcPr>
            <w:tcW w:w="63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’Times New Roman’" w:hAnsi="’Times New Roman’" w:cs="宋体"/>
                <w:color w:val="000000"/>
                <w:kern w:val="0"/>
                <w:szCs w:val="21"/>
              </w:rPr>
              <w:t>、语言准确、生动</w:t>
            </w:r>
            <w:r>
              <w:rPr>
                <w:rFonts w:hint="default"/>
                <w:color w:val="000000"/>
                <w:kern w:val="0"/>
                <w:szCs w:val="21"/>
              </w:rPr>
              <w:t>(2</w:t>
            </w:r>
            <w:r>
              <w:rPr>
                <w:rFonts w:hint="eastAsia" w:ascii="’Times New Roman’" w:hAnsi="’Times New Roman’" w:cs="宋体"/>
                <w:color w:val="000000"/>
                <w:kern w:val="0"/>
                <w:szCs w:val="21"/>
              </w:rPr>
              <w:t>分</w:t>
            </w:r>
            <w:r>
              <w:rPr>
                <w:rFonts w:hint="default"/>
                <w:color w:val="000000"/>
                <w:kern w:val="0"/>
                <w:szCs w:val="21"/>
              </w:rPr>
              <w:t>)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’Times New Roman’" w:hAnsi="’Times New Roman’" w:cs="宋体"/>
                <w:color w:val="000000"/>
                <w:kern w:val="0"/>
                <w:szCs w:val="21"/>
              </w:rPr>
              <w:t>、板书简明、规范</w:t>
            </w:r>
            <w:r>
              <w:rPr>
                <w:rFonts w:hint="default"/>
                <w:color w:val="000000"/>
                <w:kern w:val="0"/>
                <w:szCs w:val="21"/>
              </w:rPr>
              <w:t>(3</w:t>
            </w:r>
            <w:r>
              <w:rPr>
                <w:rFonts w:hint="eastAsia" w:ascii="’Times New Roman’" w:hAnsi="’Times New Roman’" w:cs="宋体"/>
                <w:color w:val="000000"/>
                <w:kern w:val="0"/>
                <w:szCs w:val="21"/>
              </w:rPr>
              <w:t>分</w:t>
            </w:r>
            <w:r>
              <w:rPr>
                <w:rFonts w:hint="default"/>
                <w:color w:val="000000"/>
                <w:kern w:val="0"/>
                <w:szCs w:val="21"/>
              </w:rPr>
              <w:t>)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’Times New Roman’" w:hAnsi="’Times New Roman’" w:cs="宋体"/>
                <w:color w:val="000000"/>
                <w:kern w:val="0"/>
                <w:szCs w:val="21"/>
              </w:rPr>
              <w:t>、教学组织严密、得法</w:t>
            </w:r>
            <w:r>
              <w:rPr>
                <w:rFonts w:hint="default"/>
                <w:color w:val="000000"/>
                <w:kern w:val="0"/>
                <w:szCs w:val="21"/>
              </w:rPr>
              <w:t>(5</w:t>
            </w:r>
            <w:r>
              <w:rPr>
                <w:rFonts w:hint="eastAsia" w:ascii="’Times New Roman’" w:hAnsi="’Times New Roman’" w:cs="宋体"/>
                <w:color w:val="000000"/>
                <w:kern w:val="0"/>
                <w:szCs w:val="21"/>
              </w:rPr>
              <w:t>分</w:t>
            </w:r>
            <w:r>
              <w:rPr>
                <w:rFonts w:hint="default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1" w:hRule="atLeast"/>
          <w:jc w:val="center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’Times New Roman’" w:hAnsi="’Times New Roman’" w:cs="宋体"/>
                <w:color w:val="000000"/>
                <w:kern w:val="0"/>
                <w:szCs w:val="21"/>
              </w:rPr>
              <w:t>教学态度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’Times New Roman’" w:hAnsi="’Times New Roman’" w:cs="宋体"/>
                <w:color w:val="000000"/>
                <w:kern w:val="0"/>
                <w:szCs w:val="21"/>
              </w:rPr>
              <w:t>教案情况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/>
                <w:color w:val="000000"/>
                <w:kern w:val="0"/>
                <w:szCs w:val="21"/>
              </w:rPr>
              <w:t>(15</w:t>
            </w:r>
            <w:r>
              <w:rPr>
                <w:rFonts w:hint="eastAsia" w:ascii="’Times New Roman’" w:hAnsi="’Times New Roman’" w:cs="宋体"/>
                <w:color w:val="000000"/>
                <w:kern w:val="0"/>
                <w:szCs w:val="21"/>
              </w:rPr>
              <w:t>分</w:t>
            </w:r>
            <w:r>
              <w:rPr>
                <w:rFonts w:hint="default"/>
                <w:color w:val="000000"/>
                <w:kern w:val="0"/>
                <w:szCs w:val="21"/>
              </w:rPr>
              <w:t>)</w:t>
            </w:r>
          </w:p>
        </w:tc>
        <w:tc>
          <w:tcPr>
            <w:tcW w:w="63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60"/>
              </w:tabs>
              <w:overflowPunct w:val="0"/>
              <w:adjustRightInd w:val="0"/>
              <w:spacing w:before="0" w:beforeAutospacing="0" w:after="0" w:afterAutospacing="0" w:line="260" w:lineRule="exact"/>
              <w:ind w:left="360" w:right="0" w:hanging="360"/>
              <w:textAlignment w:val="baseline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eastAsia="’Times New Roman’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default" w:eastAsia="’Times New Roman’"/>
                <w:color w:val="000000"/>
                <w:kern w:val="0"/>
                <w:szCs w:val="21"/>
              </w:rPr>
              <w:t>、</w:t>
            </w:r>
            <w:r>
              <w:rPr>
                <w:rFonts w:hint="eastAsia" w:ascii="’Times New Roman’" w:hAnsi="’Times New Roman’" w:cs="宋体"/>
                <w:color w:val="000000"/>
                <w:kern w:val="0"/>
                <w:szCs w:val="21"/>
              </w:rPr>
              <w:t>教态亲切、自然（</w:t>
            </w:r>
            <w:r>
              <w:rPr>
                <w:rFonts w:hint="default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’Times New Roman’" w:hAnsi="’Times New Roman’" w:cs="宋体"/>
                <w:color w:val="000000"/>
                <w:kern w:val="0"/>
                <w:szCs w:val="21"/>
              </w:rPr>
              <w:t>分）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360"/>
              </w:tabs>
              <w:overflowPunct w:val="0"/>
              <w:adjustRightInd w:val="0"/>
              <w:spacing w:before="0" w:beforeAutospacing="0" w:after="0" w:afterAutospacing="0" w:line="260" w:lineRule="exact"/>
              <w:ind w:left="360" w:right="0" w:hanging="360"/>
              <w:textAlignment w:val="baseline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eastAsia="’Times New Roman’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default" w:eastAsia="’Times New Roman’"/>
                <w:color w:val="000000"/>
                <w:kern w:val="0"/>
                <w:szCs w:val="21"/>
              </w:rPr>
              <w:t>、</w:t>
            </w:r>
            <w:r>
              <w:rPr>
                <w:rFonts w:hint="eastAsia" w:ascii="’Times New Roman’" w:hAnsi="’Times New Roman’" w:cs="宋体"/>
                <w:color w:val="000000"/>
                <w:kern w:val="0"/>
                <w:szCs w:val="21"/>
              </w:rPr>
              <w:t>仪态庄重、声情并茂（</w:t>
            </w:r>
            <w:r>
              <w:rPr>
                <w:rFonts w:hint="default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’Times New Roman’" w:hAnsi="’Times New Roman’" w:cs="宋体"/>
                <w:color w:val="000000"/>
                <w:kern w:val="0"/>
                <w:szCs w:val="21"/>
              </w:rPr>
              <w:t>分）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360"/>
              </w:tabs>
              <w:overflowPunct w:val="0"/>
              <w:adjustRightInd w:val="0"/>
              <w:spacing w:before="0" w:beforeAutospacing="0" w:after="0" w:afterAutospacing="0" w:line="260" w:lineRule="exact"/>
              <w:ind w:left="360" w:right="0" w:hanging="360"/>
              <w:textAlignment w:val="baseline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eastAsia="’Times New Roman’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default" w:eastAsia="’Times New Roman’"/>
                <w:color w:val="000000"/>
                <w:kern w:val="0"/>
                <w:szCs w:val="21"/>
              </w:rPr>
              <w:t>、</w:t>
            </w:r>
            <w:r>
              <w:rPr>
                <w:rFonts w:hint="eastAsia" w:ascii="’Times New Roman’" w:hAnsi="’Times New Roman’" w:cs="宋体"/>
                <w:color w:val="000000"/>
                <w:kern w:val="0"/>
                <w:szCs w:val="21"/>
              </w:rPr>
              <w:t>教案结构合理、逻辑严密、层次分明（</w:t>
            </w:r>
            <w:r>
              <w:rPr>
                <w:rFonts w:hint="default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’Times New Roman’" w:hAnsi="’Times New Roman’" w:cs="宋体"/>
                <w:color w:val="000000"/>
                <w:kern w:val="0"/>
                <w:szCs w:val="21"/>
              </w:rPr>
              <w:t>分）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360"/>
              </w:tabs>
              <w:overflowPunct w:val="0"/>
              <w:adjustRightInd w:val="0"/>
              <w:spacing w:before="0" w:beforeAutospacing="0" w:after="0" w:afterAutospacing="0" w:line="260" w:lineRule="exact"/>
              <w:ind w:left="360" w:right="0" w:hanging="360"/>
              <w:textAlignment w:val="baseline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eastAsia="’Times New Roman’"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hint="default" w:eastAsia="’Times New Roman’"/>
                <w:color w:val="000000"/>
                <w:kern w:val="0"/>
                <w:szCs w:val="21"/>
              </w:rPr>
              <w:t>、</w:t>
            </w:r>
            <w:bookmarkStart w:id="0" w:name="_GoBack"/>
            <w:bookmarkEnd w:id="0"/>
            <w:r>
              <w:rPr>
                <w:rFonts w:hint="eastAsia" w:ascii="’Times New Roman’" w:hAnsi="’Times New Roman’" w:cs="宋体"/>
                <w:color w:val="000000"/>
                <w:kern w:val="0"/>
                <w:szCs w:val="21"/>
              </w:rPr>
              <w:t>文字准确、简洁、清晰（</w:t>
            </w:r>
            <w:r>
              <w:rPr>
                <w:rFonts w:hint="default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’Times New Roman’" w:hAnsi="’Times New Roman’" w:cs="宋体"/>
                <w:color w:val="000000"/>
                <w:kern w:val="0"/>
                <w:szCs w:val="21"/>
              </w:rPr>
              <w:t>分）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  <w:jc w:val="center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’Times New Roman’" w:hAnsi="’Times New Roman’" w:cs="宋体"/>
                <w:color w:val="000000"/>
                <w:kern w:val="0"/>
                <w:szCs w:val="21"/>
              </w:rPr>
              <w:t>教学效果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/>
                <w:color w:val="000000"/>
                <w:kern w:val="0"/>
                <w:szCs w:val="21"/>
              </w:rPr>
              <w:t>(10</w:t>
            </w:r>
            <w:r>
              <w:rPr>
                <w:rFonts w:hint="eastAsia" w:ascii="’Times New Roman’" w:hAnsi="’Times New Roman’" w:cs="宋体"/>
                <w:color w:val="000000"/>
                <w:kern w:val="0"/>
                <w:szCs w:val="21"/>
              </w:rPr>
              <w:t>分</w:t>
            </w:r>
            <w:r>
              <w:rPr>
                <w:rFonts w:hint="default"/>
                <w:color w:val="000000"/>
                <w:kern w:val="0"/>
                <w:szCs w:val="21"/>
              </w:rPr>
              <w:t>)</w:t>
            </w:r>
          </w:p>
        </w:tc>
        <w:tc>
          <w:tcPr>
            <w:tcW w:w="63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’Times New Roman’" w:hAnsi="’Times New Roman’" w:cs="宋体"/>
                <w:color w:val="000000"/>
                <w:kern w:val="0"/>
                <w:szCs w:val="21"/>
              </w:rPr>
              <w:t>、教学目的落实（</w:t>
            </w:r>
            <w:r>
              <w:rPr>
                <w:rFonts w:hint="default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’Times New Roman’" w:hAnsi="’Times New Roman’" w:cs="宋体"/>
                <w:color w:val="000000"/>
                <w:kern w:val="0"/>
                <w:szCs w:val="21"/>
              </w:rPr>
              <w:t>分）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’Times New Roman’" w:hAnsi="’Times New Roman’" w:cs="宋体"/>
                <w:color w:val="000000"/>
                <w:kern w:val="0"/>
                <w:szCs w:val="21"/>
              </w:rPr>
              <w:t>、学生学得主动、积极</w:t>
            </w:r>
            <w:r>
              <w:rPr>
                <w:rFonts w:hint="default"/>
                <w:color w:val="000000"/>
                <w:kern w:val="0"/>
                <w:szCs w:val="21"/>
              </w:rPr>
              <w:t>(3</w:t>
            </w:r>
            <w:r>
              <w:rPr>
                <w:rFonts w:hint="eastAsia" w:ascii="’Times New Roman’" w:hAnsi="’Times New Roman’" w:cs="宋体"/>
                <w:color w:val="000000"/>
                <w:kern w:val="0"/>
                <w:szCs w:val="21"/>
              </w:rPr>
              <w:t>分</w:t>
            </w:r>
            <w:r>
              <w:rPr>
                <w:rFonts w:hint="default"/>
                <w:color w:val="000000"/>
                <w:kern w:val="0"/>
                <w:szCs w:val="21"/>
              </w:rPr>
              <w:t>)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’Times New Roman’" w:hAnsi="’Times New Roman’" w:cs="宋体"/>
                <w:color w:val="000000"/>
                <w:kern w:val="0"/>
                <w:szCs w:val="21"/>
              </w:rPr>
              <w:t>、课堂师生交流充分、气氛活跃</w:t>
            </w:r>
            <w:r>
              <w:rPr>
                <w:rFonts w:hint="default"/>
                <w:color w:val="000000"/>
                <w:kern w:val="0"/>
                <w:szCs w:val="21"/>
              </w:rPr>
              <w:t>(5</w:t>
            </w:r>
            <w:r>
              <w:rPr>
                <w:rFonts w:hint="eastAsia" w:ascii="’Times New Roman’" w:hAnsi="’Times New Roman’" w:cs="宋体"/>
                <w:color w:val="000000"/>
                <w:kern w:val="0"/>
                <w:szCs w:val="21"/>
              </w:rPr>
              <w:t>分</w:t>
            </w:r>
            <w:r>
              <w:rPr>
                <w:rFonts w:hint="default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left"/>
              <w:rPr>
                <w:rFonts w:hint="default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0" w:hRule="atLeast"/>
          <w:jc w:val="center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’Times New Roman’" w:hAnsi="’Times New Roman’" w:cs="宋体"/>
                <w:color w:val="000000"/>
                <w:kern w:val="0"/>
                <w:sz w:val="24"/>
                <w:lang w:eastAsia="zh-CN"/>
              </w:rPr>
              <w:t>说课</w:t>
            </w:r>
            <w:r>
              <w:rPr>
                <w:rFonts w:hint="eastAsia" w:ascii="’Times New Roman’" w:hAnsi="’Times New Roman’" w:cs="宋体"/>
                <w:color w:val="000000"/>
                <w:kern w:val="0"/>
                <w:sz w:val="24"/>
                <w:lang w:val="en-US" w:eastAsia="zh-CN"/>
              </w:rPr>
              <w:t>/</w:t>
            </w:r>
            <w:r>
              <w:rPr>
                <w:rFonts w:hint="eastAsia" w:ascii="’Times New Roman’" w:hAnsi="’Times New Roman’" w:cs="宋体"/>
                <w:color w:val="000000"/>
                <w:kern w:val="0"/>
                <w:sz w:val="24"/>
              </w:rPr>
              <w:t>讲课得分</w:t>
            </w:r>
            <w:r>
              <w:rPr>
                <w:rFonts w:hint="default"/>
                <w:color w:val="000000"/>
                <w:kern w:val="0"/>
                <w:szCs w:val="21"/>
              </w:rPr>
              <w:t>(</w:t>
            </w: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7</w:t>
            </w:r>
            <w:r>
              <w:rPr>
                <w:rFonts w:hint="default"/>
                <w:color w:val="000000"/>
                <w:kern w:val="0"/>
                <w:szCs w:val="21"/>
              </w:rPr>
              <w:t>0</w:t>
            </w:r>
            <w:r>
              <w:rPr>
                <w:rFonts w:hint="eastAsia" w:ascii="’Times New Roman’" w:hAnsi="’Times New Roman’" w:cs="宋体"/>
                <w:color w:val="000000"/>
                <w:kern w:val="0"/>
                <w:szCs w:val="21"/>
              </w:rPr>
              <w:t>分</w:t>
            </w:r>
            <w:r>
              <w:rPr>
                <w:rFonts w:hint="default"/>
                <w:color w:val="000000"/>
                <w:kern w:val="0"/>
                <w:szCs w:val="21"/>
              </w:rPr>
              <w:t>)</w:t>
            </w:r>
          </w:p>
        </w:tc>
        <w:tc>
          <w:tcPr>
            <w:tcW w:w="78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1" w:hRule="atLeast"/>
          <w:jc w:val="center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’Times New Roman’" w:hAnsi="’Times New Roman’" w:cs="宋体"/>
                <w:color w:val="000000"/>
                <w:kern w:val="0"/>
                <w:szCs w:val="21"/>
              </w:rPr>
              <w:t>测试专家签名</w:t>
            </w:r>
          </w:p>
        </w:tc>
        <w:tc>
          <w:tcPr>
            <w:tcW w:w="78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exact"/>
              <w:ind w:left="0" w:right="0"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’Times New Roman’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1F16AD"/>
    <w:rsid w:val="066E17B0"/>
    <w:rsid w:val="351F16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2017-10-07T02:55:00Z</dcterms:created>
  <dc:creator>Administrator</dc:creator>
  <cp:lastModifiedBy>Administrator</cp:lastModifiedBy>
  <dcterms:modified xsi:type="dcterms:W3CDTF">2018-09-20T05:40:14Z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